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544"/>
        <w:gridCol w:w="1463"/>
        <w:gridCol w:w="767"/>
        <w:gridCol w:w="3950"/>
      </w:tblGrid>
      <w:tr w:rsidR="006816C1" w:rsidRPr="00D73199" w14:paraId="10C6B76D" w14:textId="77777777" w:rsidTr="00D52F0A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</w:tcPr>
          <w:p w14:paraId="1B97272D" w14:textId="2A8A44C5" w:rsidR="006816C1" w:rsidRPr="00D73199" w:rsidRDefault="006816C1" w:rsidP="00D52F0A">
            <w:pPr>
              <w:keepNext/>
              <w:jc w:val="both"/>
              <w:rPr>
                <w:rFonts w:cs="Arial"/>
                <w:color w:val="FFFFFF"/>
                <w:lang w:val="en-US"/>
              </w:rPr>
            </w:pPr>
            <w:r w:rsidRPr="00D73199">
              <w:rPr>
                <w:rFonts w:cs="Arial"/>
                <w:color w:val="FFFFFF"/>
                <w:lang w:val="en-US"/>
              </w:rPr>
              <w:t xml:space="preserve">Research profile – </w:t>
            </w:r>
            <w:r w:rsidR="005E7551">
              <w:rPr>
                <w:rFonts w:cs="Arial"/>
                <w:color w:val="FFFFFF"/>
                <w:lang w:val="en-US"/>
              </w:rPr>
              <w:t>Anja Pistor-Hatam</w:t>
            </w:r>
          </w:p>
        </w:tc>
      </w:tr>
      <w:tr w:rsidR="006816C1" w:rsidRPr="00D73199" w14:paraId="2F9F4CBB" w14:textId="77777777" w:rsidTr="00D52F0A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</w:tcPr>
          <w:p w14:paraId="32778E6A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Personal Data</w:t>
            </w:r>
          </w:p>
        </w:tc>
      </w:tr>
      <w:tr w:rsidR="006816C1" w:rsidRPr="00D73199" w14:paraId="509EE021" w14:textId="77777777" w:rsidTr="00D52F0A">
        <w:trPr>
          <w:cantSplit/>
        </w:trPr>
        <w:tc>
          <w:tcPr>
            <w:tcW w:w="158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D4F5BB5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Name</w:t>
            </w:r>
          </w:p>
        </w:tc>
        <w:tc>
          <w:tcPr>
            <w:tcW w:w="3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87DE3F4" w14:textId="7EEB7469" w:rsidR="006816C1" w:rsidRPr="00D73199" w:rsidRDefault="00461860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Pistor-Hatam</w:t>
            </w:r>
          </w:p>
        </w:tc>
      </w:tr>
      <w:tr w:rsidR="006816C1" w:rsidRPr="00D73199" w14:paraId="6A73176D" w14:textId="77777777" w:rsidTr="00D52F0A">
        <w:trPr>
          <w:cantSplit/>
        </w:trPr>
        <w:tc>
          <w:tcPr>
            <w:tcW w:w="158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A093FAE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Name at birth</w:t>
            </w:r>
          </w:p>
        </w:tc>
        <w:tc>
          <w:tcPr>
            <w:tcW w:w="3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DCF36A" w14:textId="0A238EA0" w:rsidR="006816C1" w:rsidRPr="00D73199" w:rsidRDefault="00461860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Pistor</w:t>
            </w:r>
          </w:p>
        </w:tc>
      </w:tr>
      <w:tr w:rsidR="006816C1" w:rsidRPr="00D73199" w14:paraId="2748CAAF" w14:textId="77777777" w:rsidTr="00D52F0A">
        <w:trPr>
          <w:cantSplit/>
        </w:trPr>
        <w:tc>
          <w:tcPr>
            <w:tcW w:w="158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C569C58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Given names</w:t>
            </w:r>
          </w:p>
        </w:tc>
        <w:tc>
          <w:tcPr>
            <w:tcW w:w="3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1B8BD74" w14:textId="0D1F7253" w:rsidR="006816C1" w:rsidRPr="00D73199" w:rsidRDefault="00461860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Anja Maria</w:t>
            </w:r>
          </w:p>
        </w:tc>
      </w:tr>
      <w:tr w:rsidR="006816C1" w:rsidRPr="00D73199" w14:paraId="0A2F4DA2" w14:textId="77777777" w:rsidTr="00D52F0A">
        <w:trPr>
          <w:cantSplit/>
        </w:trPr>
        <w:tc>
          <w:tcPr>
            <w:tcW w:w="158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E945041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Academic title</w:t>
            </w:r>
          </w:p>
        </w:tc>
        <w:tc>
          <w:tcPr>
            <w:tcW w:w="3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AD78C55" w14:textId="77777777" w:rsidR="006816C1" w:rsidRPr="00D73199" w:rsidRDefault="006816C1" w:rsidP="00D52F0A">
            <w:pPr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Prof. Dr.</w:t>
            </w:r>
          </w:p>
        </w:tc>
      </w:tr>
      <w:tr w:rsidR="006816C1" w:rsidRPr="00D73199" w14:paraId="56DCEAA9" w14:textId="77777777" w:rsidTr="00D52F0A">
        <w:trPr>
          <w:cantSplit/>
        </w:trPr>
        <w:tc>
          <w:tcPr>
            <w:tcW w:w="158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3C1EE88" w14:textId="77777777" w:rsidR="006816C1" w:rsidRPr="00D73199" w:rsidRDefault="006816C1" w:rsidP="00D52F0A">
            <w:pPr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Date of birth</w:t>
            </w:r>
          </w:p>
        </w:tc>
        <w:tc>
          <w:tcPr>
            <w:tcW w:w="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8B777" w14:textId="5F612DF2" w:rsidR="006816C1" w:rsidRPr="00D73199" w:rsidRDefault="00461860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25.4.1962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324D3" w14:textId="77777777" w:rsidR="006816C1" w:rsidRPr="00D73199" w:rsidRDefault="006816C1" w:rsidP="00D52F0A">
            <w:pPr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Sex</w:t>
            </w:r>
          </w:p>
        </w:tc>
        <w:tc>
          <w:tcPr>
            <w:tcW w:w="2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A388F44" w14:textId="7E529390" w:rsidR="006816C1" w:rsidRPr="00D73199" w:rsidRDefault="00461860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</w:t>
            </w:r>
          </w:p>
        </w:tc>
      </w:tr>
      <w:tr w:rsidR="006816C1" w:rsidRPr="00D73199" w14:paraId="6D04D44A" w14:textId="77777777" w:rsidTr="00D52F0A">
        <w:trPr>
          <w:cantSplit/>
        </w:trPr>
        <w:tc>
          <w:tcPr>
            <w:tcW w:w="158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74232FC1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Affiliation</w:t>
            </w:r>
          </w:p>
        </w:tc>
        <w:tc>
          <w:tcPr>
            <w:tcW w:w="3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EC0191" w14:textId="77777777" w:rsidR="006816C1" w:rsidRPr="00D73199" w:rsidRDefault="006816C1" w:rsidP="00D52F0A">
            <w:pPr>
              <w:jc w:val="both"/>
              <w:rPr>
                <w:rFonts w:cs="Arial"/>
                <w:lang w:val="en-US"/>
              </w:rPr>
            </w:pPr>
          </w:p>
        </w:tc>
      </w:tr>
      <w:tr w:rsidR="006816C1" w:rsidRPr="00D73199" w14:paraId="0D7EE42D" w14:textId="77777777" w:rsidTr="00D52F0A">
        <w:trPr>
          <w:cantSplit/>
          <w:trHeight w:val="73"/>
        </w:trPr>
        <w:tc>
          <w:tcPr>
            <w:tcW w:w="158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D51190F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Institution</w:t>
            </w:r>
          </w:p>
        </w:tc>
        <w:tc>
          <w:tcPr>
            <w:tcW w:w="3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3B5028" w14:textId="77777777" w:rsidR="006816C1" w:rsidRPr="00D73199" w:rsidRDefault="006816C1" w:rsidP="00D52F0A">
            <w:pPr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Kiel University</w:t>
            </w:r>
          </w:p>
        </w:tc>
      </w:tr>
      <w:tr w:rsidR="006816C1" w:rsidRPr="00D73199" w14:paraId="00CD721B" w14:textId="77777777" w:rsidTr="00D52F0A">
        <w:trPr>
          <w:cantSplit/>
          <w:trHeight w:val="73"/>
        </w:trPr>
        <w:tc>
          <w:tcPr>
            <w:tcW w:w="158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8045D6D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Institute/Department</w:t>
            </w:r>
          </w:p>
        </w:tc>
        <w:tc>
          <w:tcPr>
            <w:tcW w:w="3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80F896" w14:textId="21BD500C" w:rsidR="006816C1" w:rsidRPr="00D73199" w:rsidRDefault="00461860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Seminar für Orientalistik</w:t>
            </w:r>
          </w:p>
        </w:tc>
      </w:tr>
      <w:tr w:rsidR="006816C1" w:rsidRPr="00D73199" w14:paraId="1AD5EC57" w14:textId="77777777" w:rsidTr="00D52F0A">
        <w:trPr>
          <w:cantSplit/>
        </w:trPr>
        <w:tc>
          <w:tcPr>
            <w:tcW w:w="158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49F2097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Address</w:t>
            </w:r>
          </w:p>
        </w:tc>
        <w:tc>
          <w:tcPr>
            <w:tcW w:w="3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7B23632" w14:textId="3C47146E" w:rsidR="006816C1" w:rsidRPr="00D73199" w:rsidRDefault="00461860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Leibnizstr. 10</w:t>
            </w:r>
          </w:p>
        </w:tc>
      </w:tr>
      <w:tr w:rsidR="006816C1" w:rsidRPr="00D73199" w14:paraId="29EA6777" w14:textId="77777777" w:rsidTr="00D52F0A">
        <w:trPr>
          <w:cantSplit/>
        </w:trPr>
        <w:tc>
          <w:tcPr>
            <w:tcW w:w="158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BD886B8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City, ZIP Code</w:t>
            </w:r>
          </w:p>
        </w:tc>
        <w:tc>
          <w:tcPr>
            <w:tcW w:w="3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CB514C3" w14:textId="77777777" w:rsidR="006816C1" w:rsidRPr="00D73199" w:rsidRDefault="006816C1" w:rsidP="00D52F0A">
            <w:pPr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D-24118 Kiel</w:t>
            </w:r>
          </w:p>
        </w:tc>
      </w:tr>
      <w:tr w:rsidR="006816C1" w:rsidRPr="00D73199" w14:paraId="37A90A6B" w14:textId="77777777" w:rsidTr="00D52F0A">
        <w:trPr>
          <w:cantSplit/>
        </w:trPr>
        <w:tc>
          <w:tcPr>
            <w:tcW w:w="158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09005EB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Phone</w:t>
            </w:r>
          </w:p>
        </w:tc>
        <w:tc>
          <w:tcPr>
            <w:tcW w:w="3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03FB900" w14:textId="0F1FC4D0" w:rsidR="006816C1" w:rsidRPr="00D73199" w:rsidRDefault="006816C1" w:rsidP="00D52F0A">
            <w:pPr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+49 431 880-</w:t>
            </w:r>
            <w:r w:rsidR="00461860">
              <w:rPr>
                <w:rFonts w:cs="Arial"/>
                <w:lang w:val="en-US"/>
              </w:rPr>
              <w:t>3438</w:t>
            </w:r>
          </w:p>
        </w:tc>
      </w:tr>
      <w:tr w:rsidR="006816C1" w:rsidRPr="00D73199" w14:paraId="0CB101FD" w14:textId="77777777" w:rsidTr="00D52F0A">
        <w:trPr>
          <w:cantSplit/>
        </w:trPr>
        <w:tc>
          <w:tcPr>
            <w:tcW w:w="158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B018768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Fax</w:t>
            </w:r>
          </w:p>
        </w:tc>
        <w:tc>
          <w:tcPr>
            <w:tcW w:w="3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4B48722" w14:textId="30DCAA00" w:rsidR="006816C1" w:rsidRPr="00D73199" w:rsidRDefault="006816C1" w:rsidP="00D52F0A">
            <w:pPr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+49 431 880-</w:t>
            </w:r>
            <w:r w:rsidR="00461860">
              <w:rPr>
                <w:rFonts w:cs="Arial"/>
                <w:lang w:val="en-US"/>
              </w:rPr>
              <w:t>1598</w:t>
            </w:r>
          </w:p>
        </w:tc>
      </w:tr>
      <w:tr w:rsidR="006816C1" w:rsidRPr="00AA45E7" w14:paraId="29E7829C" w14:textId="77777777" w:rsidTr="00D52F0A">
        <w:trPr>
          <w:cantSplit/>
        </w:trPr>
        <w:tc>
          <w:tcPr>
            <w:tcW w:w="158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A60A31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e-mail</w:t>
            </w:r>
          </w:p>
        </w:tc>
        <w:tc>
          <w:tcPr>
            <w:tcW w:w="3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5E1FE59" w14:textId="0A8161B5" w:rsidR="006816C1" w:rsidRPr="00D73199" w:rsidRDefault="00461860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pistor-hatam@islam.uni-kiel.de</w:t>
            </w:r>
          </w:p>
        </w:tc>
      </w:tr>
      <w:tr w:rsidR="006816C1" w:rsidRPr="00D73199" w14:paraId="15C4EC1F" w14:textId="77777777" w:rsidTr="00D52F0A">
        <w:trPr>
          <w:cantSplit/>
        </w:trPr>
        <w:tc>
          <w:tcPr>
            <w:tcW w:w="158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18A7230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Current Position</w:t>
            </w:r>
          </w:p>
        </w:tc>
        <w:tc>
          <w:tcPr>
            <w:tcW w:w="3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74B7B46" w14:textId="1C259079" w:rsidR="006816C1" w:rsidRPr="00D73199" w:rsidRDefault="006816C1" w:rsidP="00D52F0A">
            <w:pPr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Professor</w:t>
            </w:r>
            <w:r w:rsidR="003B619C">
              <w:rPr>
                <w:rFonts w:cs="Arial"/>
                <w:lang w:val="en-US"/>
              </w:rPr>
              <w:t xml:space="preserve"> (W3)</w:t>
            </w:r>
          </w:p>
        </w:tc>
      </w:tr>
      <w:tr w:rsidR="006816C1" w:rsidRPr="00D73199" w14:paraId="17C1EC2F" w14:textId="77777777" w:rsidTr="00D52F0A">
        <w:trPr>
          <w:cantSplit/>
        </w:trPr>
        <w:tc>
          <w:tcPr>
            <w:tcW w:w="1583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</w:tcPr>
          <w:p w14:paraId="3EA323E0" w14:textId="77777777" w:rsidR="006816C1" w:rsidRPr="00D73199" w:rsidRDefault="006816C1" w:rsidP="00D52F0A">
            <w:pPr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Parental leaves</w:t>
            </w:r>
          </w:p>
        </w:tc>
        <w:tc>
          <w:tcPr>
            <w:tcW w:w="3417" w:type="pct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3A40E36" w14:textId="77777777" w:rsidR="006816C1" w:rsidRPr="00D73199" w:rsidRDefault="006816C1" w:rsidP="00D52F0A">
            <w:pPr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---</w:t>
            </w:r>
          </w:p>
        </w:tc>
      </w:tr>
      <w:tr w:rsidR="006816C1" w:rsidRPr="00D73199" w14:paraId="49DA3889" w14:textId="77777777" w:rsidTr="00D52F0A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</w:tcPr>
          <w:p w14:paraId="058E9441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Education</w:t>
            </w:r>
          </w:p>
        </w:tc>
      </w:tr>
      <w:tr w:rsidR="006816C1" w:rsidRPr="00AA45E7" w14:paraId="2E95A661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C89C833" w14:textId="261A0D66" w:rsidR="00C409C7" w:rsidRDefault="00C409C7" w:rsidP="00D52F0A">
            <w:pPr>
              <w:jc w:val="both"/>
              <w:rPr>
                <w:rFonts w:cs="Arial"/>
                <w:lang w:val="en-US"/>
              </w:rPr>
            </w:pPr>
            <w:r w:rsidRPr="00C409C7">
              <w:rPr>
                <w:rFonts w:cs="Arial"/>
                <w:lang w:val="en-US"/>
              </w:rPr>
              <w:t>1988–92</w:t>
            </w:r>
          </w:p>
          <w:p w14:paraId="53B7BF14" w14:textId="7786F422" w:rsidR="00461860" w:rsidRPr="00D73199" w:rsidRDefault="00461860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1982–88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A3C03EE" w14:textId="5A413797" w:rsidR="00461860" w:rsidRDefault="00461860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PhD Programme Islamic Studies</w:t>
            </w:r>
            <w:r w:rsidR="000E65A6">
              <w:rPr>
                <w:rFonts w:cs="Arial"/>
                <w:lang w:val="en-US"/>
              </w:rPr>
              <w:t>/</w:t>
            </w:r>
            <w:r>
              <w:rPr>
                <w:rFonts w:cs="Arial"/>
                <w:lang w:val="en-US"/>
              </w:rPr>
              <w:t>History</w:t>
            </w:r>
            <w:r w:rsidR="000E65A6">
              <w:rPr>
                <w:rFonts w:cs="Arial"/>
                <w:lang w:val="en-US"/>
              </w:rPr>
              <w:t>,</w:t>
            </w:r>
            <w:r>
              <w:rPr>
                <w:rFonts w:cs="Arial"/>
                <w:lang w:val="en-US"/>
              </w:rPr>
              <w:t xml:space="preserve"> Freiburg University</w:t>
            </w:r>
          </w:p>
          <w:p w14:paraId="4B2A3DE7" w14:textId="17DFB2E7" w:rsidR="00C409C7" w:rsidRPr="00D73199" w:rsidRDefault="00C409C7" w:rsidP="00D52F0A">
            <w:pPr>
              <w:jc w:val="both"/>
              <w:rPr>
                <w:rFonts w:cs="Arial"/>
                <w:lang w:val="en-US"/>
              </w:rPr>
            </w:pPr>
            <w:r w:rsidRPr="00C409C7">
              <w:rPr>
                <w:rFonts w:cs="Arial"/>
                <w:lang w:val="en-US"/>
              </w:rPr>
              <w:t>Master’s Programme Islamic Studies</w:t>
            </w:r>
            <w:r w:rsidR="000E65A6">
              <w:rPr>
                <w:rFonts w:cs="Arial"/>
                <w:lang w:val="en-US"/>
              </w:rPr>
              <w:t>/</w:t>
            </w:r>
            <w:r w:rsidRPr="00C409C7">
              <w:rPr>
                <w:rFonts w:cs="Arial"/>
                <w:lang w:val="en-US"/>
              </w:rPr>
              <w:t>History</w:t>
            </w:r>
            <w:r w:rsidR="000E65A6">
              <w:rPr>
                <w:rFonts w:cs="Arial"/>
                <w:lang w:val="en-US"/>
              </w:rPr>
              <w:t>, F</w:t>
            </w:r>
            <w:r w:rsidRPr="00C409C7">
              <w:rPr>
                <w:rFonts w:cs="Arial"/>
                <w:lang w:val="en-US"/>
              </w:rPr>
              <w:t>reiburg University</w:t>
            </w:r>
            <w:r w:rsidR="000E65A6">
              <w:rPr>
                <w:rFonts w:cs="Arial"/>
                <w:lang w:val="en-US"/>
              </w:rPr>
              <w:t>)</w:t>
            </w:r>
          </w:p>
        </w:tc>
      </w:tr>
      <w:tr w:rsidR="006816C1" w:rsidRPr="00D73199" w14:paraId="6A5E04FE" w14:textId="77777777" w:rsidTr="00D52F0A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</w:tcPr>
          <w:p w14:paraId="3E1C9A73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Scientific degrees</w:t>
            </w:r>
          </w:p>
        </w:tc>
      </w:tr>
      <w:tr w:rsidR="006816C1" w:rsidRPr="00AA45E7" w14:paraId="1BC1DA97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3F26E99" w14:textId="509E5CD2" w:rsidR="006816C1" w:rsidRPr="00D73199" w:rsidRDefault="00C409C7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1999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689B3C1" w14:textId="5837A5B5" w:rsidR="006816C1" w:rsidRPr="00D73199" w:rsidRDefault="00C409C7" w:rsidP="00D52F0A">
            <w:pPr>
              <w:suppressAutoHyphens/>
              <w:jc w:val="both"/>
              <w:rPr>
                <w:rFonts w:cs="Arial"/>
                <w:lang w:val="en-US"/>
              </w:rPr>
            </w:pPr>
            <w:r w:rsidRPr="00C409C7">
              <w:rPr>
                <w:rFonts w:cs="Arial"/>
                <w:lang w:val="en-US"/>
              </w:rPr>
              <w:t>Habili</w:t>
            </w:r>
            <w:r w:rsidR="00CD159A">
              <w:rPr>
                <w:rFonts w:cs="Arial"/>
                <w:lang w:val="en-US"/>
              </w:rPr>
              <w:t>t</w:t>
            </w:r>
            <w:r w:rsidRPr="00C409C7">
              <w:rPr>
                <w:rFonts w:cs="Arial"/>
                <w:lang w:val="en-US"/>
              </w:rPr>
              <w:t>ation (</w:t>
            </w:r>
            <w:r w:rsidRPr="00C409C7">
              <w:rPr>
                <w:rFonts w:cs="Arial"/>
                <w:i/>
                <w:iCs/>
                <w:lang w:val="en-US"/>
              </w:rPr>
              <w:t>venia legendi</w:t>
            </w:r>
            <w:r w:rsidRPr="00C409C7">
              <w:rPr>
                <w:rFonts w:cs="Arial"/>
                <w:lang w:val="en-US"/>
              </w:rPr>
              <w:t xml:space="preserve"> Islamic Studies), Heidelberg University</w:t>
            </w:r>
          </w:p>
        </w:tc>
      </w:tr>
      <w:tr w:rsidR="006816C1" w:rsidRPr="00AA45E7" w14:paraId="6CB84B28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6EBA6D9" w14:textId="335A713F" w:rsidR="006816C1" w:rsidRPr="00D73199" w:rsidRDefault="00C409C7" w:rsidP="00D52F0A">
            <w:pPr>
              <w:jc w:val="both"/>
              <w:rPr>
                <w:rFonts w:cs="Arial"/>
                <w:lang w:val="en-US"/>
              </w:rPr>
            </w:pPr>
            <w:r w:rsidRPr="00C409C7">
              <w:rPr>
                <w:rFonts w:cs="Arial"/>
                <w:lang w:val="en-US"/>
              </w:rPr>
              <w:t>199</w:t>
            </w: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96CC46C" w14:textId="000FBE93" w:rsidR="006816C1" w:rsidRPr="00D73199" w:rsidRDefault="00C409C7" w:rsidP="00D52F0A">
            <w:pPr>
              <w:jc w:val="both"/>
              <w:rPr>
                <w:rFonts w:cs="Arial"/>
                <w:lang w:val="en-US"/>
              </w:rPr>
            </w:pPr>
            <w:r w:rsidRPr="00C409C7">
              <w:rPr>
                <w:rFonts w:cs="Arial"/>
                <w:lang w:val="en-US"/>
              </w:rPr>
              <w:t xml:space="preserve">PhD Islamic Studies, Freiburg University </w:t>
            </w:r>
          </w:p>
        </w:tc>
      </w:tr>
      <w:tr w:rsidR="006816C1" w:rsidRPr="00D73199" w14:paraId="23764B63" w14:textId="77777777" w:rsidTr="00D52F0A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</w:tcPr>
          <w:p w14:paraId="75283B42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Professional career</w:t>
            </w:r>
          </w:p>
        </w:tc>
      </w:tr>
      <w:tr w:rsidR="00B8314B" w:rsidRPr="00AA45E7" w14:paraId="4BFB9228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CF4C250" w14:textId="729192D9" w:rsidR="00B8314B" w:rsidRDefault="00B8314B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2014–2020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4CF339A" w14:textId="41D66A39" w:rsidR="00B8314B" w:rsidRDefault="00B8314B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Vice</w:t>
            </w:r>
            <w:r w:rsidR="002B7BFA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President for Academic </w:t>
            </w:r>
            <w:r w:rsidR="002B7BFA">
              <w:rPr>
                <w:rFonts w:cs="Arial"/>
                <w:lang w:val="en-US"/>
              </w:rPr>
              <w:t>Affairs</w:t>
            </w:r>
            <w:r>
              <w:rPr>
                <w:rFonts w:cs="Arial"/>
                <w:lang w:val="en-US"/>
              </w:rPr>
              <w:t xml:space="preserve">, International Relations, and Diversity, </w:t>
            </w:r>
            <w:r w:rsidRPr="00B8314B">
              <w:rPr>
                <w:rFonts w:cs="Arial"/>
                <w:lang w:val="en-US"/>
              </w:rPr>
              <w:t>Kiel University</w:t>
            </w:r>
          </w:p>
        </w:tc>
      </w:tr>
      <w:tr w:rsidR="009523DC" w:rsidRPr="00AA45E7" w14:paraId="62F7C338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32C7296" w14:textId="4C75D7F6" w:rsidR="009523DC" w:rsidRDefault="009523DC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2010–14 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B34C85F" w14:textId="389615B3" w:rsidR="009523DC" w:rsidRDefault="009523DC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Speaker of the Senate, Kiel University</w:t>
            </w:r>
          </w:p>
        </w:tc>
      </w:tr>
      <w:tr w:rsidR="006C1F34" w:rsidRPr="00AA45E7" w14:paraId="6258B64C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B2C7EE9" w14:textId="5763E8FD" w:rsidR="006C1F34" w:rsidRDefault="006C1F34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2010–12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50D829E" w14:textId="71FD34C5" w:rsidR="006C1F34" w:rsidRDefault="006C1F34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Vice</w:t>
            </w:r>
            <w:r w:rsidR="002B7BFA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Dean </w:t>
            </w:r>
            <w:r w:rsidRPr="006C1F34">
              <w:rPr>
                <w:rFonts w:cs="Arial"/>
                <w:lang w:val="en-US"/>
              </w:rPr>
              <w:t>of the Faculty of Humanities, Kiel University</w:t>
            </w:r>
          </w:p>
        </w:tc>
      </w:tr>
      <w:tr w:rsidR="007C29D1" w:rsidRPr="00AA45E7" w14:paraId="78A18376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85F78CB" w14:textId="64B9BBA3" w:rsidR="007C29D1" w:rsidRDefault="009523DC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2008–10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1A9C2C3" w14:textId="4CE4F433" w:rsidR="007C29D1" w:rsidRDefault="009523DC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Dean of the Faculty of Humanities, Kiel University</w:t>
            </w:r>
          </w:p>
        </w:tc>
      </w:tr>
      <w:tr w:rsidR="00FF1E40" w:rsidRPr="00AA45E7" w14:paraId="32660C56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4A578DD" w14:textId="15384D37" w:rsidR="00FF1E40" w:rsidRDefault="00FF1E40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since 2003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B1A7E25" w14:textId="2C45E480" w:rsidR="00FF1E40" w:rsidRPr="00C66E5E" w:rsidRDefault="008E696F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Professor for Islamic Studies (C4/W3)</w:t>
            </w:r>
            <w:r w:rsidR="00EC39CB">
              <w:rPr>
                <w:rFonts w:cs="Arial"/>
                <w:lang w:val="en-US"/>
              </w:rPr>
              <w:t>,</w:t>
            </w:r>
            <w:r>
              <w:rPr>
                <w:rFonts w:cs="Arial"/>
                <w:lang w:val="en-US"/>
              </w:rPr>
              <w:t xml:space="preserve"> Kiel University </w:t>
            </w:r>
          </w:p>
        </w:tc>
      </w:tr>
      <w:tr w:rsidR="00FF1E40" w:rsidRPr="00AA45E7" w14:paraId="7FAABBBA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A9D5F53" w14:textId="01EF2D9B" w:rsidR="00FF1E40" w:rsidRDefault="00FF1E40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1999–2003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25EF35B" w14:textId="3AF55805" w:rsidR="00FF1E40" w:rsidRPr="00C66E5E" w:rsidRDefault="00FF1E40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Substitute of the Chair of Islamic Studies, Kiel University </w:t>
            </w:r>
          </w:p>
        </w:tc>
      </w:tr>
      <w:tr w:rsidR="006816C1" w:rsidRPr="00AA45E7" w14:paraId="46A8A04D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C36EAE9" w14:textId="2ECF6B40" w:rsidR="006816C1" w:rsidRPr="00D73199" w:rsidRDefault="00C66E5E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1998–99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1DEAD3C" w14:textId="485258B3" w:rsidR="006816C1" w:rsidRPr="00D73199" w:rsidRDefault="00C66E5E" w:rsidP="00D52F0A">
            <w:pPr>
              <w:jc w:val="both"/>
              <w:rPr>
                <w:rFonts w:cs="Arial"/>
                <w:lang w:val="en-US"/>
              </w:rPr>
            </w:pPr>
            <w:r w:rsidRPr="00C66E5E">
              <w:rPr>
                <w:rFonts w:cs="Arial"/>
                <w:lang w:val="en-US"/>
              </w:rPr>
              <w:t>Substitute university assistant</w:t>
            </w:r>
            <w:r w:rsidR="00183879">
              <w:rPr>
                <w:rFonts w:cs="Arial"/>
                <w:lang w:val="en-US"/>
              </w:rPr>
              <w:t>,</w:t>
            </w:r>
            <w:r w:rsidRPr="00C66E5E">
              <w:rPr>
                <w:rFonts w:cs="Arial"/>
                <w:lang w:val="en-US"/>
              </w:rPr>
              <w:t xml:space="preserve"> Iranian Studies</w:t>
            </w:r>
            <w:r>
              <w:rPr>
                <w:rFonts w:cs="Arial"/>
                <w:lang w:val="en-US"/>
              </w:rPr>
              <w:t>, Bamberg University</w:t>
            </w:r>
          </w:p>
        </w:tc>
      </w:tr>
      <w:tr w:rsidR="006816C1" w:rsidRPr="00AA45E7" w14:paraId="6CD4BA94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E1A8B14" w14:textId="64E561A5" w:rsidR="006816C1" w:rsidRPr="00D73199" w:rsidRDefault="00BB776A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1996–98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B5667B0" w14:textId="368EBDBC" w:rsidR="006816C1" w:rsidRPr="00D73199" w:rsidRDefault="00BB776A" w:rsidP="00D52F0A">
            <w:pPr>
              <w:jc w:val="both"/>
              <w:rPr>
                <w:rFonts w:cs="Arial"/>
                <w:lang w:val="en-US"/>
              </w:rPr>
            </w:pPr>
            <w:r w:rsidRPr="00BB776A">
              <w:rPr>
                <w:rFonts w:cs="Arial"/>
                <w:lang w:val="en-US"/>
              </w:rPr>
              <w:t>Habilitation fellowship of the DFG</w:t>
            </w:r>
          </w:p>
        </w:tc>
      </w:tr>
      <w:tr w:rsidR="006816C1" w:rsidRPr="00AA45E7" w14:paraId="5763CA25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806B27B" w14:textId="51774EA6" w:rsidR="006816C1" w:rsidRPr="00D73199" w:rsidRDefault="00C94837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1993–95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3F9F61E" w14:textId="65076999" w:rsidR="006816C1" w:rsidRPr="00D73199" w:rsidRDefault="005F2A47" w:rsidP="00D52F0A">
            <w:pPr>
              <w:jc w:val="both"/>
              <w:rPr>
                <w:rFonts w:cs="Arial"/>
                <w:lang w:val="en-US"/>
              </w:rPr>
            </w:pPr>
            <w:r w:rsidRPr="005F2A47">
              <w:rPr>
                <w:rFonts w:cs="Arial"/>
                <w:lang w:val="en-US"/>
              </w:rPr>
              <w:t>Collaborator in the DFG Priority Program</w:t>
            </w:r>
            <w:r>
              <w:rPr>
                <w:rFonts w:cs="Arial"/>
                <w:lang w:val="en-US"/>
              </w:rPr>
              <w:t>me</w:t>
            </w:r>
            <w:r w:rsidRPr="005F2A47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“</w:t>
            </w:r>
            <w:r w:rsidRPr="005F2A47">
              <w:rPr>
                <w:rFonts w:cs="Arial"/>
                <w:lang w:val="en-US"/>
              </w:rPr>
              <w:t>Transformations of European Expansion from the 16</w:t>
            </w:r>
            <w:r w:rsidRPr="005F2A47">
              <w:rPr>
                <w:rFonts w:cs="Arial"/>
                <w:vertAlign w:val="superscript"/>
                <w:lang w:val="en-US"/>
              </w:rPr>
              <w:t>th</w:t>
            </w:r>
            <w:r w:rsidRPr="005F2A47">
              <w:rPr>
                <w:rFonts w:cs="Arial"/>
                <w:lang w:val="en-US"/>
              </w:rPr>
              <w:t xml:space="preserve"> to the 20</w:t>
            </w:r>
            <w:r w:rsidRPr="005F2A47">
              <w:rPr>
                <w:rFonts w:cs="Arial"/>
                <w:vertAlign w:val="superscript"/>
                <w:lang w:val="en-US"/>
              </w:rPr>
              <w:t>th</w:t>
            </w:r>
            <w:r w:rsidRPr="005F2A47">
              <w:rPr>
                <w:rFonts w:cs="Arial"/>
                <w:lang w:val="en-US"/>
              </w:rPr>
              <w:t xml:space="preserve"> Century</w:t>
            </w:r>
            <w:r>
              <w:rPr>
                <w:rFonts w:cs="Arial"/>
                <w:lang w:val="en-US"/>
              </w:rPr>
              <w:t xml:space="preserve">” (DFG-Schwerpunktprogramm </w:t>
            </w:r>
            <w:r w:rsidRPr="005F2A47">
              <w:rPr>
                <w:rFonts w:cs="Arial"/>
              </w:rPr>
              <w:t>„Transformationen der europäischen Expansion vom 16. bis zum 20. Jahrhundert“</w:t>
            </w:r>
            <w:r>
              <w:rPr>
                <w:rFonts w:cs="Arial"/>
              </w:rPr>
              <w:t>)</w:t>
            </w:r>
          </w:p>
        </w:tc>
      </w:tr>
      <w:tr w:rsidR="006816C1" w:rsidRPr="00AA45E7" w14:paraId="1E6C6D97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A4EC0FD" w14:textId="45C005A5" w:rsidR="006816C1" w:rsidRPr="00D73199" w:rsidRDefault="00C94837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1991–92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A4E71B1" w14:textId="360B011E" w:rsidR="006816C1" w:rsidRPr="00C94837" w:rsidRDefault="00C94837" w:rsidP="00C94837">
            <w:pPr>
              <w:spacing w:line="280" w:lineRule="exact"/>
              <w:jc w:val="both"/>
            </w:pPr>
            <w:r w:rsidRPr="00C94837">
              <w:t>Freelancer of the Center for Turkish Studies</w:t>
            </w:r>
            <w:r>
              <w:t xml:space="preserve"> (Zentrum für Türkeistudien)</w:t>
            </w:r>
            <w:r w:rsidRPr="00C94837">
              <w:t>, Essen/Bon</w:t>
            </w:r>
            <w:r>
              <w:t>n</w:t>
            </w:r>
          </w:p>
        </w:tc>
      </w:tr>
      <w:tr w:rsidR="006816C1" w:rsidRPr="00AA45E7" w14:paraId="5C055E85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0B50EF9" w14:textId="5D843C67" w:rsidR="006816C1" w:rsidRPr="00D73199" w:rsidRDefault="00492102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1989–91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D0C4D7B" w14:textId="3FBC10B9" w:rsidR="006816C1" w:rsidRPr="00D73199" w:rsidRDefault="00492102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Research Assistant (Wiss. Angestellte), Seminar für Orientalistik, Freiburg University</w:t>
            </w:r>
          </w:p>
        </w:tc>
      </w:tr>
      <w:tr w:rsidR="006816C1" w:rsidRPr="00AA45E7" w14:paraId="2CC6C084" w14:textId="77777777" w:rsidTr="00D52F0A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</w:tcPr>
          <w:p w14:paraId="5507F174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Editorships, Memberships in committees, Awards</w:t>
            </w:r>
          </w:p>
        </w:tc>
      </w:tr>
      <w:tr w:rsidR="00265CC1" w:rsidRPr="00AA45E7" w14:paraId="15D7F758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0D7BDC4" w14:textId="77777777" w:rsidR="00265CC1" w:rsidRDefault="00265CC1" w:rsidP="00D52F0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9803D6" w14:textId="217BD6EB" w:rsidR="00265CC1" w:rsidRPr="003660B4" w:rsidRDefault="00265CC1" w:rsidP="00D52F0A">
            <w:pPr>
              <w:tabs>
                <w:tab w:val="left" w:pos="0"/>
              </w:tabs>
              <w:suppressAutoHyphens/>
              <w:jc w:val="both"/>
            </w:pPr>
            <w:r>
              <w:t xml:space="preserve">Co-editor of the series </w:t>
            </w:r>
            <w:r w:rsidRPr="00265CC1">
              <w:rPr>
                <w:i/>
                <w:iCs/>
              </w:rPr>
              <w:t>Asien und Afrika</w:t>
            </w:r>
            <w:r w:rsidRPr="00265CC1">
              <w:t>, eb Verlag</w:t>
            </w:r>
            <w:r>
              <w:t xml:space="preserve"> and </w:t>
            </w:r>
            <w:r w:rsidRPr="00265CC1">
              <w:rPr>
                <w:i/>
                <w:iCs/>
              </w:rPr>
              <w:t>Kultur, Recht und Politik in muslimischen Gesellschaften</w:t>
            </w:r>
            <w:r w:rsidRPr="00265CC1">
              <w:t>, Ergon-Verlag</w:t>
            </w:r>
          </w:p>
        </w:tc>
      </w:tr>
      <w:tr w:rsidR="003660B4" w:rsidRPr="00AA45E7" w14:paraId="3B31CE55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83FC65C" w14:textId="59B65D5D" w:rsidR="003660B4" w:rsidRDefault="003660B4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since 2014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1A96919" w14:textId="5758CF7A" w:rsidR="003660B4" w:rsidRPr="00BB73A1" w:rsidRDefault="003660B4" w:rsidP="00D52F0A">
            <w:pPr>
              <w:tabs>
                <w:tab w:val="left" w:pos="0"/>
              </w:tabs>
              <w:suppressAutoHyphens/>
              <w:jc w:val="both"/>
            </w:pPr>
            <w:r w:rsidRPr="003660B4">
              <w:t>Member of the Scientifc Advisory Board of the Austrian Academy of Sciences, Institute of Iranian Studies</w:t>
            </w:r>
          </w:p>
        </w:tc>
      </w:tr>
      <w:tr w:rsidR="00BB73A1" w:rsidRPr="00AA45E7" w14:paraId="41D7742D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57B95A7" w14:textId="100EFD25" w:rsidR="00BB73A1" w:rsidRDefault="00BB73A1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since 2011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12920AE" w14:textId="1FC1F63B" w:rsidR="00BB73A1" w:rsidRDefault="00BB73A1" w:rsidP="00D52F0A">
            <w:pPr>
              <w:tabs>
                <w:tab w:val="left" w:pos="0"/>
              </w:tabs>
              <w:suppressAutoHyphens/>
              <w:jc w:val="both"/>
            </w:pPr>
            <w:r w:rsidRPr="00BB73A1">
              <w:t>Full member of the Academy of Sciences in Hamburg</w:t>
            </w:r>
          </w:p>
        </w:tc>
      </w:tr>
      <w:tr w:rsidR="006816C1" w:rsidRPr="00AA45E7" w14:paraId="7944D996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FD44578" w14:textId="65047FEF" w:rsidR="006816C1" w:rsidRPr="00D73199" w:rsidRDefault="009F5EBD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since 2003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D79EB4D" w14:textId="2CFE655A" w:rsidR="006816C1" w:rsidRPr="009F5EBD" w:rsidRDefault="009F5EBD" w:rsidP="00D52F0A">
            <w:pPr>
              <w:tabs>
                <w:tab w:val="left" w:pos="0"/>
              </w:tabs>
              <w:suppressAutoHyphens/>
              <w:jc w:val="both"/>
              <w:rPr>
                <w:rFonts w:cs="Arial"/>
                <w:lang w:val="en-US"/>
              </w:rPr>
            </w:pPr>
            <w:r>
              <w:t>L</w:t>
            </w:r>
            <w:r w:rsidRPr="009F5EBD">
              <w:t xml:space="preserve">iaison </w:t>
            </w:r>
            <w:r>
              <w:t>P</w:t>
            </w:r>
            <w:r w:rsidRPr="009F5EBD">
              <w:t>rofessor</w:t>
            </w:r>
            <w:r>
              <w:t xml:space="preserve"> for the </w:t>
            </w:r>
            <w:r w:rsidR="00547990" w:rsidRPr="00547990">
              <w:t xml:space="preserve">German Academic Scholarship Foundation </w:t>
            </w:r>
            <w:r>
              <w:t>(Studienstiftung des Deutschen Volkes)</w:t>
            </w:r>
          </w:p>
        </w:tc>
      </w:tr>
      <w:tr w:rsidR="006816C1" w:rsidRPr="00AA45E7" w14:paraId="17101111" w14:textId="77777777" w:rsidTr="00E078A5">
        <w:trPr>
          <w:cantSplit/>
        </w:trPr>
        <w:tc>
          <w:tcPr>
            <w:tcW w:w="7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15C4FFE" w14:textId="31B41FFC" w:rsidR="006816C1" w:rsidRPr="00D73199" w:rsidRDefault="009F5EBD" w:rsidP="00D52F0A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2003–11</w:t>
            </w:r>
          </w:p>
        </w:tc>
        <w:tc>
          <w:tcPr>
            <w:tcW w:w="4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D75B0E5" w14:textId="1E5EE8DC" w:rsidR="006816C1" w:rsidRPr="00D73199" w:rsidRDefault="009F5EBD" w:rsidP="00D52F0A">
            <w:pPr>
              <w:jc w:val="both"/>
              <w:rPr>
                <w:rFonts w:cs="Arial"/>
                <w:lang w:val="en-US"/>
              </w:rPr>
            </w:pPr>
            <w:r w:rsidRPr="009F5EBD">
              <w:rPr>
                <w:rFonts w:cs="Arial"/>
                <w:lang w:val="en-US"/>
              </w:rPr>
              <w:t>Member of the Board of the German Oriental Society (DMG)</w:t>
            </w:r>
          </w:p>
        </w:tc>
      </w:tr>
      <w:tr w:rsidR="006816C1" w:rsidRPr="00D73199" w14:paraId="5DD1AAB2" w14:textId="77777777" w:rsidTr="00D52F0A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5E6B84C7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Main Publications</w:t>
            </w:r>
          </w:p>
        </w:tc>
      </w:tr>
      <w:tr w:rsidR="006816C1" w:rsidRPr="00AA45E7" w14:paraId="22CAB428" w14:textId="77777777" w:rsidTr="00D52F0A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4F8E57CA" w14:textId="77777777" w:rsidR="006816C1" w:rsidRPr="00D73199" w:rsidRDefault="006816C1" w:rsidP="00D52F0A">
            <w:pPr>
              <w:keepNext/>
              <w:jc w:val="both"/>
              <w:rPr>
                <w:rFonts w:cs="Arial"/>
                <w:lang w:val="en-US"/>
              </w:rPr>
            </w:pPr>
            <w:r w:rsidRPr="00D73199">
              <w:rPr>
                <w:rFonts w:cs="Arial"/>
                <w:lang w:val="en-US"/>
              </w:rPr>
              <w:t>Category (a): Books, Refereed publications</w:t>
            </w:r>
          </w:p>
        </w:tc>
      </w:tr>
      <w:tr w:rsidR="006816C1" w:rsidRPr="00D73199" w14:paraId="7BBC577B" w14:textId="77777777" w:rsidTr="00D52F0A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6E18DA" w14:textId="4BA1B435" w:rsidR="006816C1" w:rsidRPr="00171CF0" w:rsidRDefault="00171CF0" w:rsidP="00171C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</w:rPr>
            </w:pPr>
            <w:r w:rsidRPr="00171CF0">
              <w:rPr>
                <w:rFonts w:cs="Arial"/>
              </w:rPr>
              <w:t xml:space="preserve">Nachrichtenblatt, Informationsbörse und Diskussionsforum: </w:t>
            </w:r>
            <w:r w:rsidRPr="00171CF0">
              <w:rPr>
                <w:rFonts w:cs="Arial"/>
                <w:i/>
              </w:rPr>
              <w:t>Aḫtar-e Estānbūl</w:t>
            </w:r>
            <w:r w:rsidRPr="00171CF0">
              <w:rPr>
                <w:rFonts w:cs="Arial"/>
              </w:rPr>
              <w:t xml:space="preserve"> (1876–1896) – Anstöße zur frühen persischen Moderne, Münster - Hamburg - London 1999 (2000). </w:t>
            </w:r>
          </w:p>
        </w:tc>
      </w:tr>
      <w:tr w:rsidR="006816C1" w:rsidRPr="00AA45E7" w14:paraId="3B7F216B" w14:textId="77777777" w:rsidTr="00D52F0A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75064B" w14:textId="169DC0A8" w:rsidR="006816C1" w:rsidRPr="00C75F19" w:rsidRDefault="00171CF0" w:rsidP="00C7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Cs w:val="24"/>
              </w:rPr>
            </w:pPr>
            <w:r w:rsidRPr="00171CF0">
              <w:rPr>
                <w:rFonts w:eastAsia="Arial Unicode MS" w:cs="Arial"/>
              </w:rPr>
              <w:t>Geschichtsschreibung und Sinngeschichte in Iran: Historische Erzählungen von mongolischer Eroberung und Herrschaft, 1933–2011, Leiden 2014. [</w:t>
            </w:r>
            <w:r w:rsidR="00B30593">
              <w:rPr>
                <w:rFonts w:eastAsia="Arial Unicode MS" w:cs="Arial"/>
              </w:rPr>
              <w:t>Review/</w:t>
            </w:r>
            <w:r w:rsidRPr="00171CF0">
              <w:rPr>
                <w:rFonts w:eastAsia="Arial Unicode MS" w:cs="Arial"/>
              </w:rPr>
              <w:t xml:space="preserve">Rezensionsartikel: Fragner Bert: </w:t>
            </w:r>
            <w:r w:rsidRPr="00171CF0">
              <w:rPr>
                <w:rFonts w:cs="Arial"/>
                <w:szCs w:val="24"/>
              </w:rPr>
              <w:t xml:space="preserve">„Eine langjährige und weltweite Debatte um iranische Identität“, in: </w:t>
            </w:r>
            <w:r w:rsidRPr="00171CF0">
              <w:rPr>
                <w:rFonts w:cs="Arial"/>
                <w:i/>
                <w:szCs w:val="24"/>
              </w:rPr>
              <w:t>Wiener Zeitschrift für die Kunde des Morgenlandes</w:t>
            </w:r>
            <w:r w:rsidRPr="00171CF0">
              <w:rPr>
                <w:rFonts w:cs="Arial"/>
                <w:szCs w:val="24"/>
              </w:rPr>
              <w:t xml:space="preserve"> 108 (2018), 313–20.</w:t>
            </w:r>
            <w:r w:rsidR="008D7539">
              <w:rPr>
                <w:rFonts w:cs="Arial"/>
                <w:szCs w:val="24"/>
              </w:rPr>
              <w:t>]</w:t>
            </w:r>
          </w:p>
        </w:tc>
      </w:tr>
      <w:tr w:rsidR="006816C1" w:rsidRPr="00AA45E7" w14:paraId="71402530" w14:textId="77777777" w:rsidTr="00D52F0A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31EC3A" w14:textId="32A9C8C2" w:rsidR="006816C1" w:rsidRPr="008D7539" w:rsidRDefault="00171CF0" w:rsidP="008D753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Cs w:val="24"/>
              </w:rPr>
            </w:pPr>
            <w:r w:rsidRPr="008D7539">
              <w:rPr>
                <w:rFonts w:cs="Arial"/>
                <w:szCs w:val="24"/>
              </w:rPr>
              <w:t>(</w:t>
            </w:r>
            <w:r w:rsidR="008D7539">
              <w:rPr>
                <w:rFonts w:cs="Arial"/>
                <w:szCs w:val="24"/>
              </w:rPr>
              <w:t>ed</w:t>
            </w:r>
            <w:r w:rsidRPr="008D7539">
              <w:rPr>
                <w:rFonts w:cs="Arial"/>
                <w:szCs w:val="24"/>
              </w:rPr>
              <w:t>.): Menschenrechte in der Islamischen Republik Iran</w:t>
            </w:r>
            <w:r w:rsidR="008D7539">
              <w:rPr>
                <w:rFonts w:cs="Arial"/>
                <w:szCs w:val="24"/>
              </w:rPr>
              <w:t>/Human Rights in the Islamic Republic of Iran</w:t>
            </w:r>
            <w:r w:rsidRPr="008D7539">
              <w:rPr>
                <w:rFonts w:cs="Arial"/>
                <w:szCs w:val="24"/>
              </w:rPr>
              <w:t>, Würzburg 2021.</w:t>
            </w:r>
          </w:p>
        </w:tc>
      </w:tr>
      <w:tr w:rsidR="006816C1" w:rsidRPr="00AA45E7" w14:paraId="52B71C04" w14:textId="77777777" w:rsidTr="00D52F0A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DFA483" w14:textId="78BC7A7C" w:rsidR="00E078A5" w:rsidRPr="00171CF0" w:rsidRDefault="000006D6" w:rsidP="00D52F0A">
            <w:pPr>
              <w:tabs>
                <w:tab w:val="left" w:pos="142"/>
              </w:tabs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“</w:t>
            </w:r>
            <w:r w:rsidR="00E078A5" w:rsidRPr="00E078A5">
              <w:rPr>
                <w:rFonts w:cs="Arial"/>
                <w:lang w:val="en-US"/>
              </w:rPr>
              <w:t>Writing Back? Jalal Al-e Ahmad’s (1923–69) Reflections on Selected Periods of Iranian History</w:t>
            </w:r>
            <w:r>
              <w:rPr>
                <w:rFonts w:cs="Arial"/>
                <w:lang w:val="en-US"/>
              </w:rPr>
              <w:t>”</w:t>
            </w:r>
            <w:r w:rsidR="00E078A5" w:rsidRPr="00E078A5">
              <w:rPr>
                <w:rFonts w:cs="Arial"/>
                <w:lang w:val="en-US"/>
              </w:rPr>
              <w:t xml:space="preserve">, in: </w:t>
            </w:r>
            <w:r w:rsidR="00E078A5" w:rsidRPr="00E078A5">
              <w:rPr>
                <w:rFonts w:cs="Arial"/>
                <w:i/>
                <w:iCs/>
                <w:lang w:val="en-US"/>
              </w:rPr>
              <w:t>Iranian Studies</w:t>
            </w:r>
            <w:r w:rsidR="00E078A5" w:rsidRPr="00E078A5">
              <w:rPr>
                <w:rFonts w:cs="Arial"/>
                <w:lang w:val="en-US"/>
              </w:rPr>
              <w:t xml:space="preserve"> 40 (2007), S. 559–78.</w:t>
            </w:r>
          </w:p>
        </w:tc>
      </w:tr>
      <w:tr w:rsidR="006940FB" w:rsidRPr="00AA45E7" w14:paraId="739F4A0E" w14:textId="77777777" w:rsidTr="00D52F0A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24CB7C" w14:textId="007C23D8" w:rsidR="006940FB" w:rsidRPr="006940FB" w:rsidRDefault="006940FB" w:rsidP="006940F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“</w:t>
            </w:r>
            <w:r w:rsidRPr="006940FB">
              <w:rPr>
                <w:rFonts w:cs="Arial"/>
                <w:lang w:val="en-GB"/>
              </w:rPr>
              <w:t xml:space="preserve">The Iranian Constitutional Revolution as </w:t>
            </w:r>
            <w:r w:rsidRPr="006940FB">
              <w:rPr>
                <w:rFonts w:cs="Arial"/>
                <w:i/>
                <w:iCs/>
                <w:lang w:val="en-GB"/>
              </w:rPr>
              <w:t>lieu(x) de mémoire</w:t>
            </w:r>
            <w:r w:rsidRPr="006940FB">
              <w:rPr>
                <w:rFonts w:cs="Arial"/>
                <w:lang w:val="en-GB"/>
              </w:rPr>
              <w:t>: Sattār Khān</w:t>
            </w:r>
            <w:r>
              <w:rPr>
                <w:rFonts w:cs="Arial"/>
                <w:lang w:val="en-GB"/>
              </w:rPr>
              <w:t>”</w:t>
            </w:r>
            <w:r w:rsidRPr="006940FB">
              <w:rPr>
                <w:rFonts w:cs="Arial"/>
                <w:lang w:val="en-GB"/>
              </w:rPr>
              <w:t>, in: Chehabi, H</w:t>
            </w:r>
            <w:r w:rsidR="005846C9">
              <w:rPr>
                <w:rFonts w:cs="Arial"/>
                <w:lang w:val="en-GB"/>
              </w:rPr>
              <w:t>ouchang</w:t>
            </w:r>
            <w:r w:rsidRPr="006940FB">
              <w:rPr>
                <w:rFonts w:cs="Arial"/>
                <w:lang w:val="en-GB"/>
              </w:rPr>
              <w:t xml:space="preserve"> E. </w:t>
            </w:r>
            <w:r>
              <w:rPr>
                <w:rFonts w:cs="Arial"/>
                <w:lang w:val="en-GB"/>
              </w:rPr>
              <w:t>&amp;</w:t>
            </w:r>
            <w:r w:rsidRPr="006940FB">
              <w:rPr>
                <w:rFonts w:cs="Arial"/>
                <w:lang w:val="en-GB"/>
              </w:rPr>
              <w:t xml:space="preserve"> Vanessa Martin (eds.): </w:t>
            </w:r>
            <w:r w:rsidRPr="006940FB">
              <w:rPr>
                <w:rFonts w:cs="Arial"/>
                <w:i/>
                <w:iCs/>
                <w:lang w:val="en-GB"/>
              </w:rPr>
              <w:t>Iran’s Constitutional Revolution. Popular Politics, Cultural Transformations and Transnational Connections</w:t>
            </w:r>
            <w:r w:rsidRPr="006940FB">
              <w:rPr>
                <w:rFonts w:cs="Arial"/>
                <w:lang w:val="en-GB"/>
              </w:rPr>
              <w:t>, London 2010, 33–44.</w:t>
            </w:r>
          </w:p>
        </w:tc>
      </w:tr>
      <w:tr w:rsidR="006940FB" w:rsidRPr="00AA45E7" w14:paraId="753B5DDF" w14:textId="77777777" w:rsidTr="00D52F0A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BAAAE8" w14:textId="1996203A" w:rsidR="006940FB" w:rsidRPr="005D3592" w:rsidRDefault="00356BDF" w:rsidP="00356B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“</w:t>
            </w:r>
            <w:r w:rsidRPr="00356BDF">
              <w:rPr>
                <w:rFonts w:cs="Arial"/>
                <w:szCs w:val="24"/>
                <w:lang w:val="en-US"/>
              </w:rPr>
              <w:t>History and Its Meaning in the Islamic Republic of Iran: The Case of the Mongol Invasion(s) and Rule</w:t>
            </w:r>
            <w:r>
              <w:rPr>
                <w:rFonts w:cs="Arial"/>
                <w:szCs w:val="24"/>
                <w:lang w:val="en-US"/>
              </w:rPr>
              <w:t>”</w:t>
            </w:r>
            <w:r w:rsidRPr="00356BDF">
              <w:rPr>
                <w:rFonts w:cs="Arial"/>
                <w:szCs w:val="24"/>
                <w:lang w:val="en-US"/>
              </w:rPr>
              <w:t>, in: Ansari, Ali (</w:t>
            </w:r>
            <w:r>
              <w:rPr>
                <w:rFonts w:cs="Arial"/>
                <w:szCs w:val="24"/>
                <w:lang w:val="en-US"/>
              </w:rPr>
              <w:t>ed</w:t>
            </w:r>
            <w:r w:rsidRPr="00356BDF">
              <w:rPr>
                <w:rFonts w:cs="Arial"/>
                <w:szCs w:val="24"/>
                <w:lang w:val="en-US"/>
              </w:rPr>
              <w:t xml:space="preserve">.): </w:t>
            </w:r>
            <w:r w:rsidRPr="00356BDF">
              <w:rPr>
                <w:rFonts w:cs="Arial"/>
                <w:i/>
                <w:szCs w:val="24"/>
                <w:lang w:val="en-US"/>
              </w:rPr>
              <w:t>Perceptions of Iran. History, Myths and Nationalism from Medieval Persia to the Islamic Republic</w:t>
            </w:r>
            <w:r w:rsidRPr="00356BDF">
              <w:rPr>
                <w:rFonts w:cs="Arial"/>
                <w:szCs w:val="24"/>
                <w:lang w:val="en-US"/>
              </w:rPr>
              <w:t>, London - New York 2013, 165–83.</w:t>
            </w:r>
          </w:p>
        </w:tc>
      </w:tr>
      <w:tr w:rsidR="006940FB" w:rsidRPr="00AA45E7" w14:paraId="1D4A7F7F" w14:textId="77777777" w:rsidTr="00D52F0A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8D1AD1" w14:textId="296528ED" w:rsidR="006940FB" w:rsidRPr="00362CA7" w:rsidRDefault="00E82EDF" w:rsidP="00362CA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“</w:t>
            </w:r>
            <w:r w:rsidRPr="00E82EDF">
              <w:rPr>
                <w:rFonts w:cs="Arial"/>
                <w:szCs w:val="24"/>
                <w:lang w:val="en-GB"/>
              </w:rPr>
              <w:t>Historical Thinking in Intercultural Perspective: Iranian Narratives on the Mongol Era</w:t>
            </w:r>
            <w:r>
              <w:rPr>
                <w:rFonts w:cs="Arial"/>
                <w:szCs w:val="24"/>
                <w:lang w:val="en-GB"/>
              </w:rPr>
              <w:t>”</w:t>
            </w:r>
            <w:r w:rsidRPr="00E82EDF">
              <w:rPr>
                <w:rFonts w:cs="Arial"/>
                <w:szCs w:val="24"/>
                <w:lang w:val="en-GB"/>
              </w:rPr>
              <w:t xml:space="preserve">, in: </w:t>
            </w:r>
            <w:r w:rsidRPr="00E82EDF">
              <w:rPr>
                <w:rFonts w:cs="Arial"/>
                <w:i/>
                <w:szCs w:val="24"/>
                <w:lang w:val="en-GB"/>
              </w:rPr>
              <w:t>Middle East – Topics &amp; Arguments online</w:t>
            </w:r>
            <w:r w:rsidRPr="00E82EDF">
              <w:rPr>
                <w:rFonts w:cs="Arial"/>
                <w:szCs w:val="24"/>
                <w:lang w:val="en-GB"/>
              </w:rPr>
              <w:t xml:space="preserve"> 2014, 104–12.</w:t>
            </w:r>
          </w:p>
        </w:tc>
      </w:tr>
      <w:tr w:rsidR="00F95B45" w:rsidRPr="00AA45E7" w14:paraId="491E4079" w14:textId="77777777" w:rsidTr="00D52F0A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07B13" w14:textId="7F4F45A9" w:rsidR="00F95B45" w:rsidRPr="00E82EDF" w:rsidRDefault="00F95B45" w:rsidP="00E82EDF">
            <w:pPr>
              <w:tabs>
                <w:tab w:val="left" w:pos="142"/>
              </w:tabs>
              <w:snapToGrid w:val="0"/>
              <w:jc w:val="both"/>
              <w:rPr>
                <w:rFonts w:cs="Arial"/>
                <w:lang w:val="en-GB"/>
              </w:rPr>
            </w:pPr>
            <w:r w:rsidRPr="00F95B45">
              <w:rPr>
                <w:rFonts w:cs="Arial"/>
                <w:lang w:val="en-GB"/>
              </w:rPr>
              <w:t xml:space="preserve">“Non-understanding and Minority Formation in Iran”, in: </w:t>
            </w:r>
            <w:r w:rsidRPr="00F95B45">
              <w:rPr>
                <w:rFonts w:cs="Arial"/>
                <w:i/>
                <w:lang w:val="en-GB"/>
              </w:rPr>
              <w:t>Iran</w:t>
            </w:r>
            <w:r w:rsidRPr="00F95B45">
              <w:rPr>
                <w:rFonts w:cs="Arial"/>
                <w:lang w:val="en-GB"/>
              </w:rPr>
              <w:t xml:space="preserve"> 55 (2017), 87–98.</w:t>
            </w:r>
          </w:p>
        </w:tc>
      </w:tr>
      <w:tr w:rsidR="006940FB" w:rsidRPr="00AA45E7" w14:paraId="6E010F70" w14:textId="77777777" w:rsidTr="00D52F0A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09EE20" w14:textId="11CF9657" w:rsidR="006940FB" w:rsidRPr="00171CF0" w:rsidRDefault="00E82EDF" w:rsidP="00E82EDF">
            <w:pPr>
              <w:tabs>
                <w:tab w:val="left" w:pos="142"/>
              </w:tabs>
              <w:snapToGrid w:val="0"/>
              <w:jc w:val="both"/>
              <w:rPr>
                <w:rFonts w:cs="Arial"/>
                <w:lang w:val="en-US"/>
              </w:rPr>
            </w:pPr>
            <w:r w:rsidRPr="00E82EDF">
              <w:rPr>
                <w:rFonts w:cs="Arial"/>
                <w:lang w:val="en-GB"/>
              </w:rPr>
              <w:t xml:space="preserve">&amp; Kerstin von der Decken: </w:t>
            </w:r>
            <w:bookmarkStart w:id="0" w:name="_Hlk22717116"/>
            <w:r w:rsidRPr="00E82EDF">
              <w:rPr>
                <w:rFonts w:cs="Arial"/>
                <w:lang w:val="en-GB"/>
              </w:rPr>
              <w:t>“‘Menschenwürde/</w:t>
            </w:r>
            <w:r w:rsidRPr="00E82EDF">
              <w:rPr>
                <w:rFonts w:cs="Arial"/>
                <w:i/>
                <w:lang w:val="en-GB"/>
              </w:rPr>
              <w:t>Karāma(t)‘</w:t>
            </w:r>
            <w:r w:rsidRPr="00E82EDF">
              <w:rPr>
                <w:rFonts w:cs="Arial"/>
                <w:lang w:val="en-GB"/>
              </w:rPr>
              <w:t xml:space="preserve">: Zur Frage eines möglichen Konsenses in der Menschenrechtsdebatte”, in: </w:t>
            </w:r>
            <w:r w:rsidRPr="00E82EDF">
              <w:rPr>
                <w:rFonts w:cs="Arial"/>
                <w:i/>
                <w:lang w:val="en-GB"/>
              </w:rPr>
              <w:t xml:space="preserve">Zeitschrift für Recht und Islam/Journal for Law and Islam </w:t>
            </w:r>
            <w:r w:rsidRPr="00E82EDF">
              <w:rPr>
                <w:rFonts w:cs="Arial"/>
                <w:lang w:val="en-GB"/>
              </w:rPr>
              <w:t>9 (2017, published 2/2019), 155–78.</w:t>
            </w:r>
            <w:bookmarkEnd w:id="0"/>
          </w:p>
        </w:tc>
      </w:tr>
      <w:tr w:rsidR="006940FB" w:rsidRPr="00AA45E7" w14:paraId="339F04CB" w14:textId="77777777" w:rsidTr="00D53B9F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A1AB3" w14:textId="0E58B096" w:rsidR="006940FB" w:rsidRPr="00171CF0" w:rsidRDefault="00E82EDF" w:rsidP="006940F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lang w:val="en-US"/>
              </w:rPr>
            </w:pPr>
            <w:r w:rsidRPr="00E82EDF">
              <w:rPr>
                <w:rFonts w:cs="Arial"/>
                <w:lang w:val="en-US"/>
              </w:rPr>
              <w:t>“</w:t>
            </w:r>
            <w:r w:rsidR="00356BDF" w:rsidRPr="00E82EDF">
              <w:rPr>
                <w:rFonts w:cs="Arial"/>
                <w:lang w:val="en-US"/>
              </w:rPr>
              <w:t xml:space="preserve">Religious Minorities in the Islamic Republic of Iran and the </w:t>
            </w:r>
            <w:r w:rsidR="00EC39CB">
              <w:rPr>
                <w:rFonts w:cs="Arial"/>
                <w:lang w:val="en-US"/>
              </w:rPr>
              <w:t>‘</w:t>
            </w:r>
            <w:r w:rsidR="00356BDF" w:rsidRPr="00E82EDF">
              <w:rPr>
                <w:rFonts w:cs="Arial"/>
                <w:lang w:val="en-US"/>
              </w:rPr>
              <w:t>Right to have Rights</w:t>
            </w:r>
            <w:r w:rsidR="00EC39CB">
              <w:rPr>
                <w:rFonts w:cs="Arial"/>
                <w:lang w:val="en-US"/>
              </w:rPr>
              <w:t>’</w:t>
            </w:r>
            <w:r w:rsidRPr="00E82EDF">
              <w:rPr>
                <w:rFonts w:cs="Arial"/>
                <w:lang w:val="en-US"/>
              </w:rPr>
              <w:t>”</w:t>
            </w:r>
            <w:r w:rsidR="00356BDF" w:rsidRPr="00E82EDF">
              <w:rPr>
                <w:rFonts w:cs="Arial"/>
                <w:lang w:val="en-US"/>
              </w:rPr>
              <w:t xml:space="preserve">, in:  </w:t>
            </w:r>
            <w:r w:rsidR="00356BDF" w:rsidRPr="00E82EDF">
              <w:rPr>
                <w:rFonts w:cs="Arial"/>
                <w:i/>
                <w:lang w:val="en-US"/>
              </w:rPr>
              <w:t>Irannamag</w:t>
            </w:r>
            <w:r w:rsidR="00356BDF" w:rsidRPr="00E82EDF">
              <w:rPr>
                <w:rFonts w:cs="Arial"/>
                <w:lang w:val="en-US"/>
              </w:rPr>
              <w:t xml:space="preserve"> 3.4 (2019), 4–25.</w:t>
            </w:r>
          </w:p>
        </w:tc>
      </w:tr>
    </w:tbl>
    <w:p w14:paraId="5E7E06FA" w14:textId="3962E3E0" w:rsidR="00FF78B0" w:rsidRDefault="00FF78B0" w:rsidP="00C41338">
      <w:pPr>
        <w:rPr>
          <w:lang w:val="en-US"/>
        </w:rPr>
      </w:pPr>
    </w:p>
    <w:p w14:paraId="21CCD4F4" w14:textId="4A12608B" w:rsidR="00EC34C5" w:rsidRDefault="00EC34C5" w:rsidP="00C41338">
      <w:pPr>
        <w:rPr>
          <w:lang w:val="en-US"/>
        </w:rPr>
      </w:pPr>
    </w:p>
    <w:p w14:paraId="3E0E8E69" w14:textId="4F7A2AC9" w:rsidR="00EC34C5" w:rsidRDefault="00EC34C5" w:rsidP="00C41338">
      <w:pPr>
        <w:rPr>
          <w:lang w:val="en-US"/>
        </w:rPr>
      </w:pPr>
    </w:p>
    <w:p w14:paraId="1CC8364A" w14:textId="47D7837C" w:rsidR="00EC34C5" w:rsidRDefault="00EC34C5" w:rsidP="00C41338">
      <w:pPr>
        <w:rPr>
          <w:lang w:val="en-US"/>
        </w:rPr>
      </w:pPr>
    </w:p>
    <w:p w14:paraId="456146CF" w14:textId="77777777" w:rsidR="008F7FB0" w:rsidRDefault="008F7FB0" w:rsidP="0076461D">
      <w:pPr>
        <w:jc w:val="both"/>
      </w:pPr>
    </w:p>
    <w:p w14:paraId="19EC6768" w14:textId="54DFE5FB" w:rsidR="00C54E0E" w:rsidRPr="0076461D" w:rsidRDefault="0076461D" w:rsidP="00CD3F8D">
      <w:pPr>
        <w:jc w:val="both"/>
        <w:rPr>
          <w:lang w:val="en-GB"/>
        </w:rPr>
      </w:pPr>
      <w:r w:rsidRPr="0076461D">
        <w:rPr>
          <w:lang w:val="en-GB"/>
        </w:rPr>
        <w:t xml:space="preserve">For </w:t>
      </w:r>
      <w:r>
        <w:rPr>
          <w:lang w:val="en-GB"/>
        </w:rPr>
        <w:t xml:space="preserve">quite </w:t>
      </w:r>
      <w:r w:rsidRPr="0076461D">
        <w:rPr>
          <w:lang w:val="en-GB"/>
        </w:rPr>
        <w:t>some time now, my main research interest has been intellectual history in modern Iran. This includes historiography in the 20</w:t>
      </w:r>
      <w:r w:rsidRPr="0076461D">
        <w:rPr>
          <w:vertAlign w:val="superscript"/>
          <w:lang w:val="en-GB"/>
        </w:rPr>
        <w:t>th</w:t>
      </w:r>
      <w:r w:rsidRPr="0076461D">
        <w:rPr>
          <w:lang w:val="en-GB"/>
        </w:rPr>
        <w:t xml:space="preserve"> to 21</w:t>
      </w:r>
      <w:r w:rsidRPr="0076461D">
        <w:rPr>
          <w:vertAlign w:val="superscript"/>
          <w:lang w:val="en-GB"/>
        </w:rPr>
        <w:t>st</w:t>
      </w:r>
      <w:r w:rsidRPr="0076461D">
        <w:rPr>
          <w:lang w:val="en-GB"/>
        </w:rPr>
        <w:t xml:space="preserve"> centuries as well as the debate on human rights and human dignity in the Islamic Republic. In this debate, </w:t>
      </w:r>
      <w:r>
        <w:rPr>
          <w:lang w:val="en-GB"/>
        </w:rPr>
        <w:t>disapproval</w:t>
      </w:r>
      <w:r w:rsidRPr="0076461D">
        <w:rPr>
          <w:lang w:val="en-GB"/>
        </w:rPr>
        <w:t>, respect</w:t>
      </w:r>
      <w:r>
        <w:rPr>
          <w:lang w:val="en-GB"/>
        </w:rPr>
        <w:t>,</w:t>
      </w:r>
      <w:r w:rsidRPr="0076461D">
        <w:rPr>
          <w:lang w:val="en-GB"/>
        </w:rPr>
        <w:t xml:space="preserve"> and tolerance play an essential role, even if the</w:t>
      </w:r>
      <w:r>
        <w:rPr>
          <w:lang w:val="en-GB"/>
        </w:rPr>
        <w:t>se</w:t>
      </w:r>
      <w:r w:rsidRPr="0076461D">
        <w:rPr>
          <w:lang w:val="en-GB"/>
        </w:rPr>
        <w:t xml:space="preserve"> terms are not necessarily explicitly mentioned or their connotations differ from those used in the </w:t>
      </w:r>
      <w:r w:rsidRPr="0076461D">
        <w:rPr>
          <w:b/>
          <w:bCs/>
          <w:lang w:val="en-GB"/>
        </w:rPr>
        <w:t>Disapproval-Respect-Model</w:t>
      </w:r>
      <w:r w:rsidRPr="0076461D">
        <w:rPr>
          <w:lang w:val="en-GB"/>
        </w:rPr>
        <w:t xml:space="preserve">. </w:t>
      </w:r>
      <w:r>
        <w:rPr>
          <w:lang w:val="en-GB"/>
        </w:rPr>
        <w:t>In any case, t</w:t>
      </w:r>
      <w:r w:rsidRPr="0076461D">
        <w:rPr>
          <w:lang w:val="en-GB"/>
        </w:rPr>
        <w:t>his model offers me a completely new</w:t>
      </w:r>
      <w:r w:rsidR="00536733">
        <w:rPr>
          <w:lang w:val="en-GB"/>
        </w:rPr>
        <w:t xml:space="preserve"> and valuable </w:t>
      </w:r>
      <w:r w:rsidRPr="0076461D">
        <w:rPr>
          <w:lang w:val="en-GB"/>
        </w:rPr>
        <w:t xml:space="preserve"> approach to analysing the fundamentals of the</w:t>
      </w:r>
      <w:r w:rsidR="00536733">
        <w:rPr>
          <w:lang w:val="en-GB"/>
        </w:rPr>
        <w:t xml:space="preserve"> politico-religious</w:t>
      </w:r>
      <w:r w:rsidRPr="0076461D">
        <w:rPr>
          <w:lang w:val="en-GB"/>
        </w:rPr>
        <w:t xml:space="preserve"> interaction</w:t>
      </w:r>
      <w:r w:rsidR="00C54E0E">
        <w:rPr>
          <w:lang w:val="en-GB"/>
        </w:rPr>
        <w:t xml:space="preserve"> and discourse</w:t>
      </w:r>
      <w:r w:rsidRPr="0076461D">
        <w:rPr>
          <w:lang w:val="en-GB"/>
        </w:rPr>
        <w:t xml:space="preserve"> between </w:t>
      </w:r>
      <w:r w:rsidR="008760A9">
        <w:rPr>
          <w:lang w:val="en-GB"/>
        </w:rPr>
        <w:t>“</w:t>
      </w:r>
      <w:r w:rsidRPr="0076461D">
        <w:rPr>
          <w:lang w:val="en-GB"/>
        </w:rPr>
        <w:t>majorities</w:t>
      </w:r>
      <w:r w:rsidR="008760A9">
        <w:rPr>
          <w:lang w:val="en-GB"/>
        </w:rPr>
        <w:t>”</w:t>
      </w:r>
      <w:r w:rsidRPr="0076461D">
        <w:rPr>
          <w:lang w:val="en-GB"/>
        </w:rPr>
        <w:t xml:space="preserve"> and </w:t>
      </w:r>
      <w:r w:rsidR="008760A9">
        <w:rPr>
          <w:lang w:val="en-GB"/>
        </w:rPr>
        <w:t>“</w:t>
      </w:r>
      <w:r w:rsidRPr="0076461D">
        <w:rPr>
          <w:lang w:val="en-GB"/>
        </w:rPr>
        <w:t>minorities</w:t>
      </w:r>
      <w:r w:rsidR="008760A9">
        <w:rPr>
          <w:lang w:val="en-GB"/>
        </w:rPr>
        <w:t>”</w:t>
      </w:r>
      <w:r w:rsidRPr="0076461D">
        <w:rPr>
          <w:lang w:val="en-GB"/>
        </w:rPr>
        <w:t xml:space="preserve"> during the two revolutions in 20</w:t>
      </w:r>
      <w:r w:rsidRPr="00536733">
        <w:rPr>
          <w:vertAlign w:val="superscript"/>
          <w:lang w:val="en-GB"/>
        </w:rPr>
        <w:t>th</w:t>
      </w:r>
      <w:r w:rsidRPr="0076461D">
        <w:rPr>
          <w:lang w:val="en-GB"/>
        </w:rPr>
        <w:t xml:space="preserve"> century Iran.</w:t>
      </w:r>
      <w:r w:rsidR="00C54E0E">
        <w:rPr>
          <w:lang w:val="en-GB"/>
        </w:rPr>
        <w:t xml:space="preserve"> </w:t>
      </w:r>
    </w:p>
    <w:sectPr w:rsidR="00C54E0E" w:rsidRPr="007646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1E40"/>
    <w:multiLevelType w:val="singleLevel"/>
    <w:tmpl w:val="3A1A858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lang w:val="en-GB"/>
      </w:rPr>
    </w:lvl>
  </w:abstractNum>
  <w:abstractNum w:abstractNumId="1" w15:restartNumberingAfterBreak="0">
    <w:nsid w:val="1DEB662C"/>
    <w:multiLevelType w:val="singleLevel"/>
    <w:tmpl w:val="F022E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FE"/>
    <w:rsid w:val="000006D6"/>
    <w:rsid w:val="0000625C"/>
    <w:rsid w:val="000273B7"/>
    <w:rsid w:val="000447F5"/>
    <w:rsid w:val="00066103"/>
    <w:rsid w:val="000A2C53"/>
    <w:rsid w:val="000E65A6"/>
    <w:rsid w:val="00113D70"/>
    <w:rsid w:val="0011567B"/>
    <w:rsid w:val="00163040"/>
    <w:rsid w:val="00171CF0"/>
    <w:rsid w:val="00183879"/>
    <w:rsid w:val="001F47EC"/>
    <w:rsid w:val="0025017C"/>
    <w:rsid w:val="00265CC1"/>
    <w:rsid w:val="002B7BFA"/>
    <w:rsid w:val="002C5D56"/>
    <w:rsid w:val="00356BDF"/>
    <w:rsid w:val="00362CA7"/>
    <w:rsid w:val="003660B4"/>
    <w:rsid w:val="00396CE5"/>
    <w:rsid w:val="003B42FF"/>
    <w:rsid w:val="003B619C"/>
    <w:rsid w:val="003D041C"/>
    <w:rsid w:val="004139BC"/>
    <w:rsid w:val="0043049B"/>
    <w:rsid w:val="00461860"/>
    <w:rsid w:val="00492102"/>
    <w:rsid w:val="004E7AC2"/>
    <w:rsid w:val="00500DD4"/>
    <w:rsid w:val="00536733"/>
    <w:rsid w:val="00547990"/>
    <w:rsid w:val="005846C9"/>
    <w:rsid w:val="005D3592"/>
    <w:rsid w:val="005E7551"/>
    <w:rsid w:val="005F2A47"/>
    <w:rsid w:val="005F3782"/>
    <w:rsid w:val="006409D5"/>
    <w:rsid w:val="006513AD"/>
    <w:rsid w:val="006770A5"/>
    <w:rsid w:val="006816C1"/>
    <w:rsid w:val="006940FB"/>
    <w:rsid w:val="006C1F34"/>
    <w:rsid w:val="006D42AC"/>
    <w:rsid w:val="006F5AF7"/>
    <w:rsid w:val="00737084"/>
    <w:rsid w:val="007612EF"/>
    <w:rsid w:val="0076461D"/>
    <w:rsid w:val="007C29D1"/>
    <w:rsid w:val="007D0FC9"/>
    <w:rsid w:val="007F3383"/>
    <w:rsid w:val="008760A9"/>
    <w:rsid w:val="008B6499"/>
    <w:rsid w:val="008D4CFE"/>
    <w:rsid w:val="008D7539"/>
    <w:rsid w:val="008E696F"/>
    <w:rsid w:val="008F7FB0"/>
    <w:rsid w:val="009523DC"/>
    <w:rsid w:val="00972DFE"/>
    <w:rsid w:val="009F5EBD"/>
    <w:rsid w:val="00A868F8"/>
    <w:rsid w:val="00A86C36"/>
    <w:rsid w:val="00AA45E7"/>
    <w:rsid w:val="00AE0F40"/>
    <w:rsid w:val="00AE51C3"/>
    <w:rsid w:val="00AE7A16"/>
    <w:rsid w:val="00B1754A"/>
    <w:rsid w:val="00B30593"/>
    <w:rsid w:val="00B8314B"/>
    <w:rsid w:val="00BB73A1"/>
    <w:rsid w:val="00BB776A"/>
    <w:rsid w:val="00C409C7"/>
    <w:rsid w:val="00C41338"/>
    <w:rsid w:val="00C54E0E"/>
    <w:rsid w:val="00C66E5E"/>
    <w:rsid w:val="00C75F19"/>
    <w:rsid w:val="00C94837"/>
    <w:rsid w:val="00CA2EF6"/>
    <w:rsid w:val="00CD159A"/>
    <w:rsid w:val="00CD3F8D"/>
    <w:rsid w:val="00CE058F"/>
    <w:rsid w:val="00D36153"/>
    <w:rsid w:val="00D45391"/>
    <w:rsid w:val="00D53B9F"/>
    <w:rsid w:val="00D56888"/>
    <w:rsid w:val="00D64CF0"/>
    <w:rsid w:val="00D76FFE"/>
    <w:rsid w:val="00DD53D5"/>
    <w:rsid w:val="00E078A5"/>
    <w:rsid w:val="00E17A21"/>
    <w:rsid w:val="00E82EDF"/>
    <w:rsid w:val="00EA3A71"/>
    <w:rsid w:val="00EB3D8D"/>
    <w:rsid w:val="00EC34C5"/>
    <w:rsid w:val="00EC39CB"/>
    <w:rsid w:val="00ED4299"/>
    <w:rsid w:val="00EE0F1D"/>
    <w:rsid w:val="00F11396"/>
    <w:rsid w:val="00F13BD6"/>
    <w:rsid w:val="00F36FF4"/>
    <w:rsid w:val="00F95B45"/>
    <w:rsid w:val="00FE201F"/>
    <w:rsid w:val="00FF1E4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FDBF"/>
  <w15:chartTrackingRefBased/>
  <w15:docId w15:val="{32F0C9C6-D90D-4EA4-8243-96D729F1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C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4CFE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8D4CFE"/>
    <w:rPr>
      <w:rFonts w:cs="Times New Roman"/>
      <w:color w:val="0000FF"/>
      <w:u w:val="single"/>
    </w:rPr>
  </w:style>
  <w:style w:type="character" w:customStyle="1" w:styleId="refsource">
    <w:name w:val="refsource"/>
    <w:basedOn w:val="Absatz-Standardschriftart"/>
    <w:rsid w:val="008D4CFE"/>
    <w:rPr>
      <w:rFonts w:cs="Times New Roman"/>
    </w:rPr>
  </w:style>
  <w:style w:type="character" w:customStyle="1" w:styleId="citationvalue">
    <w:name w:val="citationvalue"/>
    <w:rsid w:val="003D041C"/>
  </w:style>
  <w:style w:type="paragraph" w:customStyle="1" w:styleId="Achievement">
    <w:name w:val="Achievement"/>
    <w:basedOn w:val="Standard"/>
    <w:rsid w:val="00AE0F40"/>
    <w:pPr>
      <w:widowControl w:val="0"/>
      <w:pBdr>
        <w:left w:val="single" w:sz="6" w:space="5" w:color="auto"/>
      </w:pBdr>
      <w:overflowPunct/>
      <w:autoSpaceDE/>
      <w:autoSpaceDN/>
      <w:adjustRightInd/>
      <w:spacing w:line="360" w:lineRule="atLeast"/>
      <w:ind w:left="2161" w:hanging="2161"/>
      <w:jc w:val="both"/>
      <w:textAlignment w:val="auto"/>
    </w:pPr>
    <w:rPr>
      <w:rFonts w:ascii="Times New Roman" w:hAnsi="Times New Roman"/>
      <w:lang w:val="en-GB"/>
    </w:rPr>
  </w:style>
  <w:style w:type="paragraph" w:customStyle="1" w:styleId="Address">
    <w:name w:val="Address"/>
    <w:basedOn w:val="Textkrper"/>
    <w:rsid w:val="00AE0F40"/>
    <w:pPr>
      <w:keepLines/>
      <w:widowControl w:val="0"/>
      <w:pBdr>
        <w:left w:val="single" w:sz="6" w:space="5" w:color="auto"/>
      </w:pBdr>
      <w:overflowPunct/>
      <w:autoSpaceDE/>
      <w:autoSpaceDN/>
      <w:adjustRightInd/>
      <w:spacing w:after="0"/>
      <w:ind w:right="3240"/>
      <w:textAlignment w:val="auto"/>
    </w:pPr>
    <w:rPr>
      <w:rFonts w:ascii="Times New Roman" w:hAnsi="Times New Roman"/>
      <w:lang w:val="en-GB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E0F4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F40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B42FF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7370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6D42AC"/>
    <w:rPr>
      <w:rFonts w:cs="Times New Roman"/>
      <w:i/>
    </w:rPr>
  </w:style>
  <w:style w:type="paragraph" w:customStyle="1" w:styleId="Level1">
    <w:name w:val="Level 1"/>
    <w:basedOn w:val="Standard"/>
    <w:rsid w:val="001F47EC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US" w:eastAsia="en-US"/>
    </w:rPr>
  </w:style>
  <w:style w:type="character" w:customStyle="1" w:styleId="apple-converted-space">
    <w:name w:val="apple-converted-space"/>
    <w:rsid w:val="00F11396"/>
  </w:style>
  <w:style w:type="paragraph" w:customStyle="1" w:styleId="western">
    <w:name w:val="western"/>
    <w:basedOn w:val="Standard"/>
    <w:rsid w:val="00F113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itaviliteraturverzeichnis">
    <w:name w:val="citaviliteraturverzeichnis"/>
    <w:basedOn w:val="Standard"/>
    <w:rsid w:val="00F113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770A5"/>
    <w:rPr>
      <w:rFonts w:cs="Times New Roman"/>
      <w:b/>
    </w:rPr>
  </w:style>
  <w:style w:type="character" w:customStyle="1" w:styleId="volume">
    <w:name w:val="volume"/>
    <w:rsid w:val="006770A5"/>
  </w:style>
  <w:style w:type="paragraph" w:styleId="NurText">
    <w:name w:val="Plain Text"/>
    <w:basedOn w:val="Standard"/>
    <w:link w:val="NurTextZchn"/>
    <w:uiPriority w:val="99"/>
    <w:unhideWhenUsed/>
    <w:rsid w:val="0000625C"/>
    <w:pPr>
      <w:overflowPunct/>
      <w:autoSpaceDE/>
      <w:autoSpaceDN/>
      <w:adjustRightInd/>
      <w:textAlignment w:val="auto"/>
    </w:pPr>
    <w:rPr>
      <w:rFonts w:ascii="Consolas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0625C"/>
    <w:rPr>
      <w:rFonts w:ascii="Consolas" w:eastAsia="Times New Roman" w:hAnsi="Consolas" w:cs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D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DF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J. Jessen</dc:creator>
  <cp:keywords/>
  <dc:description/>
  <cp:lastModifiedBy>Anja Pistor-Hatam</cp:lastModifiedBy>
  <cp:revision>21</cp:revision>
  <dcterms:created xsi:type="dcterms:W3CDTF">2021-03-17T09:26:00Z</dcterms:created>
  <dcterms:modified xsi:type="dcterms:W3CDTF">2021-03-31T07:33:00Z</dcterms:modified>
</cp:coreProperties>
</file>